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431"/>
        <w:gridCol w:w="3215"/>
      </w:tblGrid>
      <w:tr w:rsidR="00E66D01" w:rsidRPr="00D4501F" w:rsidTr="00004D00">
        <w:trPr>
          <w:jc w:val="center"/>
        </w:trPr>
        <w:tc>
          <w:tcPr>
            <w:tcW w:w="3705" w:type="dxa"/>
          </w:tcPr>
          <w:p w:rsidR="00E66D01" w:rsidRPr="00D4501F" w:rsidRDefault="00E66D01" w:rsidP="00E66D01">
            <w:pPr>
              <w:spacing w:line="360" w:lineRule="atLeast"/>
              <w:jc w:val="both"/>
              <w:rPr>
                <w:rFonts w:eastAsia="Times New Roman" w:cstheme="minorHAnsi"/>
                <w:b/>
                <w:color w:val="343434"/>
                <w:sz w:val="32"/>
                <w:szCs w:val="32"/>
                <w:lang w:eastAsia="fr-BE"/>
              </w:rPr>
            </w:pPr>
            <w:r>
              <w:object w:dxaOrig="7308" w:dyaOrig="4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4pt;height:111pt" o:ole="">
                  <v:imagedata r:id="rId5" o:title=""/>
                </v:shape>
                <o:OLEObject Type="Embed" ProgID="PBrush" ShapeID="_x0000_i1025" DrawAspect="Content" ObjectID="_1766395856" r:id="rId6"/>
              </w:object>
            </w:r>
          </w:p>
        </w:tc>
        <w:tc>
          <w:tcPr>
            <w:tcW w:w="2431" w:type="dxa"/>
          </w:tcPr>
          <w:p w:rsidR="00E66D01" w:rsidRPr="00D4501F" w:rsidRDefault="00E66D01" w:rsidP="00E66D01">
            <w:pPr>
              <w:spacing w:line="360" w:lineRule="atLeast"/>
              <w:jc w:val="both"/>
              <w:rPr>
                <w:rFonts w:eastAsia="Times New Roman" w:cstheme="minorHAnsi"/>
                <w:b/>
                <w:color w:val="343434"/>
                <w:sz w:val="32"/>
                <w:szCs w:val="32"/>
                <w:lang w:eastAsia="fr-BE"/>
              </w:rPr>
            </w:pPr>
            <w:r w:rsidRPr="00D4501F">
              <w:rPr>
                <w:rFonts w:eastAsia="Times New Roman" w:cstheme="minorHAnsi"/>
                <w:b/>
                <w:noProof/>
                <w:color w:val="343434"/>
                <w:sz w:val="32"/>
                <w:szCs w:val="32"/>
                <w:lang w:eastAsia="fr-BE"/>
              </w:rPr>
              <w:drawing>
                <wp:inline distT="0" distB="0" distL="0" distR="0" wp14:anchorId="1078E452" wp14:editId="08DBE679">
                  <wp:extent cx="1295035" cy="1366520"/>
                  <wp:effectExtent l="0" t="0" r="63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468" cy="1402854"/>
                          </a:xfrm>
                          <a:prstGeom prst="rect">
                            <a:avLst/>
                          </a:prstGeom>
                          <a:noFill/>
                          <a:ln>
                            <a:noFill/>
                          </a:ln>
                        </pic:spPr>
                      </pic:pic>
                    </a:graphicData>
                  </a:graphic>
                </wp:inline>
              </w:drawing>
            </w:r>
          </w:p>
        </w:tc>
        <w:tc>
          <w:tcPr>
            <w:tcW w:w="3215" w:type="dxa"/>
          </w:tcPr>
          <w:p w:rsidR="00E66D01" w:rsidRDefault="00E66D01" w:rsidP="00E66D01">
            <w:pPr>
              <w:spacing w:line="360" w:lineRule="atLeast"/>
              <w:jc w:val="both"/>
              <w:rPr>
                <w:rFonts w:ascii="Calibri" w:eastAsia="Times New Roman" w:hAnsi="Calibri" w:cs="Calibri"/>
                <w:b/>
                <w:noProof/>
                <w:color w:val="343434"/>
                <w:sz w:val="32"/>
                <w:szCs w:val="32"/>
                <w:u w:val="single"/>
                <w:lang w:eastAsia="fr-BE"/>
              </w:rPr>
            </w:pPr>
          </w:p>
          <w:p w:rsidR="00E66D01" w:rsidRPr="00D4501F" w:rsidRDefault="00E66D01" w:rsidP="00E66D01">
            <w:pPr>
              <w:spacing w:line="360" w:lineRule="atLeast"/>
              <w:jc w:val="both"/>
              <w:rPr>
                <w:rFonts w:eastAsia="Times New Roman" w:cstheme="minorHAnsi"/>
                <w:b/>
                <w:color w:val="343434"/>
                <w:sz w:val="32"/>
                <w:szCs w:val="32"/>
                <w:lang w:eastAsia="fr-BE"/>
              </w:rPr>
            </w:pPr>
            <w:r w:rsidRPr="00D4501F">
              <w:rPr>
                <w:rFonts w:ascii="Calibri" w:eastAsia="Times New Roman" w:hAnsi="Calibri" w:cs="Calibri"/>
                <w:b/>
                <w:noProof/>
                <w:color w:val="343434"/>
                <w:sz w:val="32"/>
                <w:szCs w:val="32"/>
                <w:u w:val="single"/>
                <w:lang w:eastAsia="fr-BE"/>
              </w:rPr>
              <w:drawing>
                <wp:inline distT="0" distB="0" distL="0" distR="0" wp14:anchorId="77256AC6" wp14:editId="717E1E52">
                  <wp:extent cx="1744980" cy="447527"/>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476" cy="469710"/>
                          </a:xfrm>
                          <a:prstGeom prst="rect">
                            <a:avLst/>
                          </a:prstGeom>
                          <a:noFill/>
                          <a:ln>
                            <a:noFill/>
                          </a:ln>
                        </pic:spPr>
                      </pic:pic>
                    </a:graphicData>
                  </a:graphic>
                </wp:inline>
              </w:drawing>
            </w:r>
          </w:p>
        </w:tc>
      </w:tr>
    </w:tbl>
    <w:p w:rsidR="008545E8" w:rsidRPr="00E216DF" w:rsidRDefault="0054482C" w:rsidP="00E66D01">
      <w:pPr>
        <w:shd w:val="clear" w:color="auto" w:fill="FFFFFF"/>
        <w:spacing w:before="225" w:after="225" w:line="360" w:lineRule="atLeast"/>
        <w:jc w:val="center"/>
        <w:rPr>
          <w:rFonts w:eastAsia="Times New Roman" w:cstheme="minorHAnsi"/>
          <w:b/>
          <w:color w:val="343434"/>
          <w:sz w:val="32"/>
          <w:szCs w:val="32"/>
          <w:u w:val="single"/>
          <w:lang w:eastAsia="fr-BE"/>
        </w:rPr>
      </w:pPr>
      <w:r w:rsidRPr="00E216DF">
        <w:rPr>
          <w:rFonts w:eastAsia="Times New Roman" w:cstheme="minorHAnsi"/>
          <w:b/>
          <w:color w:val="343434"/>
          <w:sz w:val="32"/>
          <w:szCs w:val="32"/>
          <w:u w:val="single"/>
          <w:lang w:eastAsia="fr-BE"/>
        </w:rPr>
        <w:t>18 avril 2024</w:t>
      </w:r>
      <w:r>
        <w:rPr>
          <w:rFonts w:eastAsia="Times New Roman" w:cstheme="minorHAnsi"/>
          <w:b/>
          <w:color w:val="343434"/>
          <w:sz w:val="32"/>
          <w:szCs w:val="32"/>
          <w:u w:val="single"/>
          <w:lang w:eastAsia="fr-BE"/>
        </w:rPr>
        <w:t xml:space="preserve"> : </w:t>
      </w:r>
      <w:r w:rsidR="008545E8" w:rsidRPr="00E216DF">
        <w:rPr>
          <w:rFonts w:eastAsia="Times New Roman" w:cstheme="minorHAnsi"/>
          <w:b/>
          <w:color w:val="343434"/>
          <w:sz w:val="32"/>
          <w:szCs w:val="32"/>
          <w:u w:val="single"/>
          <w:lang w:eastAsia="fr-BE"/>
        </w:rPr>
        <w:t>Save the date !</w:t>
      </w:r>
    </w:p>
    <w:p w:rsidR="008545E8" w:rsidRPr="00E216DF" w:rsidRDefault="008545E8" w:rsidP="004B1ABE">
      <w:pPr>
        <w:shd w:val="clear" w:color="auto" w:fill="FFFFFF"/>
        <w:spacing w:before="225" w:after="225" w:line="360" w:lineRule="atLeast"/>
        <w:jc w:val="both"/>
        <w:rPr>
          <w:rFonts w:eastAsia="Times New Roman" w:cstheme="minorHAnsi"/>
          <w:b/>
          <w:i/>
          <w:color w:val="343434"/>
          <w:sz w:val="28"/>
          <w:szCs w:val="28"/>
          <w:lang w:eastAsia="fr-BE"/>
        </w:rPr>
      </w:pPr>
      <w:r w:rsidRPr="00E216DF">
        <w:rPr>
          <w:rFonts w:eastAsia="Times New Roman" w:cstheme="minorHAnsi"/>
          <w:b/>
          <w:color w:val="343434"/>
          <w:sz w:val="28"/>
          <w:szCs w:val="28"/>
          <w:lang w:eastAsia="fr-BE"/>
        </w:rPr>
        <w:t>Journée pédagogique</w:t>
      </w:r>
      <w:r w:rsidRPr="00C62F0C">
        <w:rPr>
          <w:rFonts w:eastAsia="Times New Roman" w:cstheme="minorHAnsi"/>
          <w:color w:val="343434"/>
          <w:sz w:val="24"/>
          <w:szCs w:val="24"/>
          <w:lang w:eastAsia="fr-BE"/>
        </w:rPr>
        <w:t xml:space="preserve"> </w:t>
      </w:r>
      <w:r w:rsidRPr="00E216DF">
        <w:rPr>
          <w:rFonts w:eastAsia="Times New Roman" w:cstheme="minorHAnsi"/>
          <w:b/>
          <w:i/>
          <w:color w:val="343434"/>
          <w:sz w:val="28"/>
          <w:szCs w:val="28"/>
          <w:lang w:eastAsia="fr-BE"/>
        </w:rPr>
        <w:t>« </w:t>
      </w:r>
      <w:r w:rsidR="00C62F0C" w:rsidRPr="00E216DF">
        <w:rPr>
          <w:rFonts w:eastAsia="Times New Roman" w:cstheme="minorHAnsi"/>
          <w:b/>
          <w:i/>
          <w:color w:val="343434"/>
          <w:sz w:val="28"/>
          <w:szCs w:val="28"/>
          <w:lang w:eastAsia="fr-BE"/>
        </w:rPr>
        <w:t>Des outils pédagogiques pour</w:t>
      </w:r>
      <w:r w:rsidRPr="00E216DF">
        <w:rPr>
          <w:rFonts w:eastAsia="Times New Roman" w:cstheme="minorHAnsi"/>
          <w:b/>
          <w:i/>
          <w:color w:val="343434"/>
          <w:sz w:val="28"/>
          <w:szCs w:val="28"/>
          <w:lang w:eastAsia="fr-BE"/>
        </w:rPr>
        <w:t xml:space="preserve"> enseigner le droit international humanitaire et la justice internationale » </w:t>
      </w:r>
    </w:p>
    <w:p w:rsidR="008545E8" w:rsidRPr="00C62F0C" w:rsidRDefault="008545E8" w:rsidP="004B1ABE">
      <w:pPr>
        <w:shd w:val="clear" w:color="auto" w:fill="FFFFFF"/>
        <w:spacing w:before="225" w:after="225" w:line="360" w:lineRule="atLeast"/>
        <w:jc w:val="both"/>
        <w:rPr>
          <w:rFonts w:eastAsia="Times New Roman" w:cstheme="minorHAnsi"/>
          <w:color w:val="343434"/>
          <w:sz w:val="24"/>
          <w:szCs w:val="24"/>
          <w:lang w:eastAsia="fr-BE"/>
        </w:rPr>
      </w:pPr>
      <w:r w:rsidRPr="00C62F0C">
        <w:rPr>
          <w:rFonts w:eastAsia="Times New Roman" w:cstheme="minorHAnsi"/>
          <w:b/>
          <w:color w:val="343434"/>
          <w:sz w:val="24"/>
          <w:szCs w:val="24"/>
          <w:lang w:eastAsia="fr-BE"/>
        </w:rPr>
        <w:t>Quand</w:t>
      </w:r>
      <w:r w:rsidR="00C62F0C" w:rsidRPr="00C62F0C">
        <w:rPr>
          <w:rFonts w:eastAsia="Times New Roman" w:cstheme="minorHAnsi"/>
          <w:b/>
          <w:color w:val="343434"/>
          <w:sz w:val="24"/>
          <w:szCs w:val="24"/>
          <w:lang w:eastAsia="fr-BE"/>
        </w:rPr>
        <w:t xml:space="preserve"> ? </w:t>
      </w:r>
      <w:r w:rsidR="00C62F0C" w:rsidRPr="00C62F0C">
        <w:rPr>
          <w:rFonts w:eastAsia="Times New Roman" w:cstheme="minorHAnsi"/>
          <w:color w:val="343434"/>
          <w:sz w:val="24"/>
          <w:szCs w:val="24"/>
          <w:lang w:eastAsia="fr-BE"/>
        </w:rPr>
        <w:t>J</w:t>
      </w:r>
      <w:r w:rsidRPr="00C62F0C">
        <w:rPr>
          <w:rFonts w:eastAsia="Times New Roman" w:cstheme="minorHAnsi"/>
          <w:color w:val="343434"/>
          <w:sz w:val="24"/>
          <w:szCs w:val="24"/>
          <w:lang w:eastAsia="fr-BE"/>
        </w:rPr>
        <w:t>eudi 18 avril 2024 de 9h00 à 16h30</w:t>
      </w:r>
    </w:p>
    <w:p w:rsidR="008545E8" w:rsidRPr="00073D85" w:rsidRDefault="008545E8" w:rsidP="004B1ABE">
      <w:pPr>
        <w:spacing w:line="240" w:lineRule="exact"/>
        <w:jc w:val="both"/>
        <w:rPr>
          <w:rFonts w:cstheme="minorHAnsi"/>
          <w:sz w:val="24"/>
          <w:szCs w:val="24"/>
          <w:lang w:val="fr-FR" w:eastAsia="fr-BE"/>
        </w:rPr>
      </w:pPr>
      <w:r w:rsidRPr="00073D85">
        <w:rPr>
          <w:rFonts w:eastAsia="Times New Roman" w:cstheme="minorHAnsi"/>
          <w:b/>
          <w:sz w:val="24"/>
          <w:szCs w:val="24"/>
          <w:lang w:eastAsia="fr-BE"/>
        </w:rPr>
        <w:t>Où</w:t>
      </w:r>
      <w:r w:rsidR="00C62F0C" w:rsidRPr="00073D85">
        <w:rPr>
          <w:rFonts w:eastAsia="Times New Roman" w:cstheme="minorHAnsi"/>
          <w:b/>
          <w:sz w:val="24"/>
          <w:szCs w:val="24"/>
          <w:lang w:eastAsia="fr-BE"/>
        </w:rPr>
        <w:t> ?</w:t>
      </w:r>
      <w:r w:rsidR="00E216DF" w:rsidRPr="00073D85">
        <w:rPr>
          <w:rFonts w:cstheme="minorHAnsi"/>
          <w:sz w:val="24"/>
          <w:szCs w:val="24"/>
          <w:lang w:val="fr-FR" w:eastAsia="fr-BE"/>
        </w:rPr>
        <w:t xml:space="preserve"> Fédération Wallonie-Bruxelles, Boulevard Léopold I</w:t>
      </w:r>
      <w:r w:rsidR="00294F86">
        <w:rPr>
          <w:rFonts w:cstheme="minorHAnsi"/>
          <w:sz w:val="24"/>
          <w:szCs w:val="24"/>
          <w:lang w:val="fr-FR" w:eastAsia="fr-BE"/>
        </w:rPr>
        <w:t>I</w:t>
      </w:r>
      <w:r w:rsidR="00E216DF" w:rsidRPr="00073D85">
        <w:rPr>
          <w:rFonts w:cstheme="minorHAnsi"/>
          <w:sz w:val="24"/>
          <w:szCs w:val="24"/>
          <w:lang w:val="fr-FR" w:eastAsia="fr-BE"/>
        </w:rPr>
        <w:t>, 44 </w:t>
      </w:r>
      <w:r w:rsidR="004B1ABE" w:rsidRPr="00073D85">
        <w:rPr>
          <w:rFonts w:cstheme="minorHAnsi"/>
          <w:sz w:val="24"/>
          <w:szCs w:val="24"/>
          <w:lang w:val="fr-FR" w:eastAsia="fr-BE"/>
        </w:rPr>
        <w:t xml:space="preserve"> </w:t>
      </w:r>
      <w:r w:rsidR="00294F86">
        <w:rPr>
          <w:rFonts w:cstheme="minorHAnsi"/>
          <w:sz w:val="24"/>
          <w:szCs w:val="24"/>
          <w:lang w:val="fr-FR" w:eastAsia="fr-BE"/>
        </w:rPr>
        <w:t xml:space="preserve">(salle 4C124) </w:t>
      </w:r>
      <w:r w:rsidR="004B1ABE" w:rsidRPr="00073D85">
        <w:rPr>
          <w:rFonts w:cstheme="minorHAnsi"/>
          <w:sz w:val="24"/>
          <w:szCs w:val="24"/>
          <w:lang w:val="fr-FR" w:eastAsia="fr-BE"/>
        </w:rPr>
        <w:t xml:space="preserve">à </w:t>
      </w:r>
      <w:r w:rsidR="00E216DF" w:rsidRPr="00073D85">
        <w:rPr>
          <w:rFonts w:cstheme="minorHAnsi"/>
          <w:sz w:val="24"/>
          <w:szCs w:val="24"/>
          <w:lang w:val="fr-FR" w:eastAsia="fr-BE"/>
        </w:rPr>
        <w:t>1080 Bruxelles</w:t>
      </w:r>
    </w:p>
    <w:p w:rsidR="00C62F0C" w:rsidRPr="00C62F0C" w:rsidRDefault="008545E8" w:rsidP="00E66D01">
      <w:pPr>
        <w:spacing w:after="0"/>
        <w:jc w:val="both"/>
        <w:rPr>
          <w:rFonts w:eastAsia="Times New Roman" w:cstheme="minorHAnsi"/>
          <w:b/>
          <w:color w:val="343434"/>
          <w:sz w:val="24"/>
          <w:szCs w:val="24"/>
          <w:lang w:eastAsia="fr-BE"/>
        </w:rPr>
      </w:pPr>
      <w:r w:rsidRPr="00C62F0C">
        <w:rPr>
          <w:rFonts w:eastAsia="Times New Roman" w:cstheme="minorHAnsi"/>
          <w:b/>
          <w:color w:val="343434"/>
          <w:sz w:val="24"/>
          <w:szCs w:val="24"/>
          <w:lang w:eastAsia="fr-BE"/>
        </w:rPr>
        <w:t xml:space="preserve">Public : </w:t>
      </w:r>
    </w:p>
    <w:p w:rsidR="00C62F0C" w:rsidRPr="00C62F0C" w:rsidRDefault="00C62F0C" w:rsidP="00E66D01">
      <w:pPr>
        <w:pStyle w:val="Paragraphedeliste"/>
        <w:numPr>
          <w:ilvl w:val="0"/>
          <w:numId w:val="3"/>
        </w:numPr>
        <w:spacing w:after="0"/>
        <w:jc w:val="both"/>
        <w:rPr>
          <w:rFonts w:cstheme="minorHAnsi"/>
          <w:sz w:val="24"/>
          <w:szCs w:val="24"/>
        </w:rPr>
      </w:pPr>
      <w:proofErr w:type="spellStart"/>
      <w:r w:rsidRPr="00C62F0C">
        <w:rPr>
          <w:rFonts w:eastAsia="Times New Roman" w:cstheme="minorHAnsi"/>
          <w:color w:val="343434"/>
          <w:sz w:val="24"/>
          <w:szCs w:val="24"/>
          <w:lang w:eastAsia="fr-BE"/>
        </w:rPr>
        <w:t>E</w:t>
      </w:r>
      <w:r w:rsidR="008545E8" w:rsidRPr="00C62F0C">
        <w:rPr>
          <w:rFonts w:eastAsia="Times New Roman" w:cstheme="minorHAnsi"/>
          <w:color w:val="343434"/>
          <w:sz w:val="24"/>
          <w:szCs w:val="24"/>
          <w:lang w:eastAsia="fr-BE"/>
        </w:rPr>
        <w:t>nseignant</w:t>
      </w:r>
      <w:r w:rsidR="004B1ABE">
        <w:rPr>
          <w:rFonts w:eastAsia="Times New Roman" w:cstheme="minorHAnsi"/>
          <w:color w:val="343434"/>
          <w:sz w:val="24"/>
          <w:szCs w:val="24"/>
          <w:lang w:eastAsia="fr-BE"/>
        </w:rPr>
        <w:t>.</w:t>
      </w:r>
      <w:r w:rsidR="008545E8" w:rsidRPr="00C62F0C">
        <w:rPr>
          <w:rFonts w:eastAsia="Times New Roman" w:cstheme="minorHAnsi"/>
          <w:color w:val="343434"/>
          <w:sz w:val="24"/>
          <w:szCs w:val="24"/>
          <w:lang w:eastAsia="fr-BE"/>
        </w:rPr>
        <w:t>e</w:t>
      </w:r>
      <w:r w:rsidR="004B1ABE">
        <w:rPr>
          <w:rFonts w:eastAsia="Times New Roman" w:cstheme="minorHAnsi"/>
          <w:color w:val="343434"/>
          <w:sz w:val="24"/>
          <w:szCs w:val="24"/>
          <w:lang w:eastAsia="fr-BE"/>
        </w:rPr>
        <w:t>.</w:t>
      </w:r>
      <w:r w:rsidR="008545E8" w:rsidRPr="00C62F0C">
        <w:rPr>
          <w:rFonts w:eastAsia="Times New Roman" w:cstheme="minorHAnsi"/>
          <w:color w:val="343434"/>
          <w:sz w:val="24"/>
          <w:szCs w:val="24"/>
          <w:lang w:eastAsia="fr-BE"/>
        </w:rPr>
        <w:t>s</w:t>
      </w:r>
      <w:proofErr w:type="spellEnd"/>
      <w:r w:rsidR="008545E8" w:rsidRPr="00C62F0C">
        <w:rPr>
          <w:rFonts w:eastAsia="Times New Roman" w:cstheme="minorHAnsi"/>
          <w:color w:val="343434"/>
          <w:sz w:val="24"/>
          <w:szCs w:val="24"/>
          <w:lang w:eastAsia="fr-BE"/>
        </w:rPr>
        <w:t xml:space="preserve"> des 2ème et 3ème degrés de l’enseignement secondaire (général, technique ou professionnel – toute discipline confondue)</w:t>
      </w:r>
      <w:r w:rsidR="00BA03DE" w:rsidRPr="00C62F0C">
        <w:rPr>
          <w:rFonts w:cstheme="minorHAnsi"/>
          <w:sz w:val="24"/>
          <w:szCs w:val="24"/>
        </w:rPr>
        <w:t xml:space="preserve"> </w:t>
      </w:r>
    </w:p>
    <w:p w:rsidR="00BA03DE" w:rsidRPr="00C62F0C" w:rsidRDefault="00C62F0C" w:rsidP="004B1ABE">
      <w:pPr>
        <w:pStyle w:val="Paragraphedeliste"/>
        <w:numPr>
          <w:ilvl w:val="0"/>
          <w:numId w:val="3"/>
        </w:numPr>
        <w:jc w:val="both"/>
        <w:rPr>
          <w:rFonts w:cstheme="minorHAnsi"/>
          <w:sz w:val="24"/>
          <w:szCs w:val="24"/>
        </w:rPr>
      </w:pPr>
      <w:proofErr w:type="spellStart"/>
      <w:r w:rsidRPr="00C62F0C">
        <w:rPr>
          <w:rFonts w:cstheme="minorHAnsi"/>
          <w:sz w:val="24"/>
          <w:szCs w:val="24"/>
        </w:rPr>
        <w:t>Futur.e.s</w:t>
      </w:r>
      <w:proofErr w:type="spellEnd"/>
      <w:r w:rsidRPr="00C62F0C">
        <w:rPr>
          <w:rFonts w:cstheme="minorHAnsi"/>
          <w:sz w:val="24"/>
          <w:szCs w:val="24"/>
        </w:rPr>
        <w:t xml:space="preserve"> </w:t>
      </w:r>
      <w:proofErr w:type="spellStart"/>
      <w:r w:rsidRPr="00C62F0C">
        <w:rPr>
          <w:rFonts w:cstheme="minorHAnsi"/>
          <w:sz w:val="24"/>
          <w:szCs w:val="24"/>
        </w:rPr>
        <w:t>enseignant.e.s</w:t>
      </w:r>
      <w:proofErr w:type="spellEnd"/>
      <w:r w:rsidRPr="00C62F0C">
        <w:rPr>
          <w:rFonts w:cstheme="minorHAnsi"/>
          <w:sz w:val="24"/>
          <w:szCs w:val="24"/>
        </w:rPr>
        <w:t xml:space="preserve"> </w:t>
      </w:r>
      <w:r w:rsidR="00BA03DE" w:rsidRPr="00C62F0C">
        <w:rPr>
          <w:rFonts w:cstheme="minorHAnsi"/>
          <w:sz w:val="24"/>
          <w:szCs w:val="24"/>
        </w:rPr>
        <w:t>de l’enseignement supérieur et universitaire</w:t>
      </w:r>
      <w:r w:rsidRPr="00C62F0C">
        <w:rPr>
          <w:rFonts w:cstheme="minorHAnsi"/>
          <w:sz w:val="24"/>
          <w:szCs w:val="24"/>
        </w:rPr>
        <w:t xml:space="preserve"> </w:t>
      </w:r>
    </w:p>
    <w:p w:rsidR="00C62F0C" w:rsidRPr="00C62F0C" w:rsidRDefault="00C62F0C" w:rsidP="004B1ABE">
      <w:pPr>
        <w:pStyle w:val="Paragraphedeliste"/>
        <w:numPr>
          <w:ilvl w:val="0"/>
          <w:numId w:val="3"/>
        </w:numPr>
        <w:jc w:val="both"/>
        <w:rPr>
          <w:rFonts w:cstheme="minorHAnsi"/>
          <w:sz w:val="24"/>
          <w:szCs w:val="24"/>
        </w:rPr>
      </w:pPr>
      <w:proofErr w:type="spellStart"/>
      <w:r w:rsidRPr="00C62F0C">
        <w:rPr>
          <w:rFonts w:cstheme="minorHAnsi"/>
          <w:sz w:val="24"/>
          <w:szCs w:val="24"/>
        </w:rPr>
        <w:t>Encadrant.e.s</w:t>
      </w:r>
      <w:proofErr w:type="spellEnd"/>
      <w:r w:rsidRPr="00C62F0C">
        <w:rPr>
          <w:rFonts w:cstheme="minorHAnsi"/>
          <w:sz w:val="24"/>
          <w:szCs w:val="24"/>
        </w:rPr>
        <w:t xml:space="preserve"> jeunesse </w:t>
      </w:r>
    </w:p>
    <w:p w:rsidR="005B7DB6" w:rsidRDefault="00E66D01" w:rsidP="00E66D01">
      <w:pPr>
        <w:spacing w:after="0"/>
      </w:pPr>
      <w:hyperlink r:id="rId9" w:history="1">
        <w:r w:rsidR="00C62F0C" w:rsidRPr="003D0C1E">
          <w:rPr>
            <w:rStyle w:val="Lienhypertexte"/>
            <w:rFonts w:cstheme="minorHAnsi"/>
            <w:b/>
            <w:sz w:val="24"/>
            <w:szCs w:val="24"/>
          </w:rPr>
          <w:t>Inscription</w:t>
        </w:r>
      </w:hyperlink>
      <w:r w:rsidR="00C62F0C" w:rsidRPr="00C62F0C">
        <w:rPr>
          <w:rFonts w:cstheme="minorHAnsi"/>
          <w:b/>
          <w:sz w:val="24"/>
          <w:szCs w:val="24"/>
        </w:rPr>
        <w:t xml:space="preserve"> </w:t>
      </w:r>
      <w:r w:rsidR="00C62F0C" w:rsidRPr="00C62F0C">
        <w:rPr>
          <w:rFonts w:cstheme="minorHAnsi"/>
          <w:sz w:val="24"/>
          <w:szCs w:val="24"/>
        </w:rPr>
        <w:t>gratuite et obligatoire</w:t>
      </w:r>
      <w:r w:rsidR="004B1ABE">
        <w:rPr>
          <w:rFonts w:cstheme="minorHAnsi"/>
          <w:sz w:val="24"/>
          <w:szCs w:val="24"/>
        </w:rPr>
        <w:t xml:space="preserve"> </w:t>
      </w:r>
      <w:r w:rsidR="004B1ABE" w:rsidRPr="00DF23D2">
        <w:rPr>
          <w:rFonts w:cstheme="minorHAnsi"/>
          <w:b/>
          <w:sz w:val="24"/>
          <w:szCs w:val="24"/>
        </w:rPr>
        <w:t>avant le 30 mars</w:t>
      </w:r>
      <w:r w:rsidR="00294F86">
        <w:rPr>
          <w:rFonts w:cstheme="minorHAnsi"/>
          <w:sz w:val="24"/>
          <w:szCs w:val="24"/>
        </w:rPr>
        <w:t xml:space="preserve"> </w:t>
      </w:r>
      <w:r w:rsidR="00294F86" w:rsidRPr="00294F86">
        <w:rPr>
          <w:rFonts w:cstheme="minorHAnsi"/>
          <w:b/>
          <w:sz w:val="24"/>
          <w:szCs w:val="24"/>
        </w:rPr>
        <w:t>2024</w:t>
      </w:r>
      <w:r w:rsidR="00294F86">
        <w:rPr>
          <w:rFonts w:cstheme="minorHAnsi"/>
          <w:b/>
          <w:sz w:val="24"/>
          <w:szCs w:val="24"/>
        </w:rPr>
        <w:t>.</w:t>
      </w:r>
      <w:r w:rsidR="003D0C1E">
        <w:t xml:space="preserve"> </w:t>
      </w:r>
    </w:p>
    <w:p w:rsidR="00073947" w:rsidRPr="00073947" w:rsidRDefault="00073947" w:rsidP="003D0C1E">
      <w:pPr>
        <w:rPr>
          <w:rFonts w:cstheme="minorHAnsi"/>
          <w:sz w:val="24"/>
          <w:szCs w:val="24"/>
        </w:rPr>
      </w:pPr>
      <w:r w:rsidRPr="00073947">
        <w:rPr>
          <w:sz w:val="24"/>
          <w:szCs w:val="24"/>
        </w:rPr>
        <w:t xml:space="preserve">Nombre  maximum de </w:t>
      </w:r>
      <w:proofErr w:type="spellStart"/>
      <w:r w:rsidRPr="00073947">
        <w:rPr>
          <w:sz w:val="24"/>
          <w:szCs w:val="24"/>
        </w:rPr>
        <w:t>participant.e.s</w:t>
      </w:r>
      <w:proofErr w:type="spellEnd"/>
      <w:r w:rsidRPr="00073947">
        <w:rPr>
          <w:sz w:val="24"/>
          <w:szCs w:val="24"/>
        </w:rPr>
        <w:t> : 25 personnes</w:t>
      </w:r>
    </w:p>
    <w:p w:rsidR="008545E8" w:rsidRPr="00E216DF" w:rsidRDefault="008545E8" w:rsidP="004B1ABE">
      <w:pPr>
        <w:shd w:val="clear" w:color="auto" w:fill="FFFFFF"/>
        <w:spacing w:after="0" w:line="360" w:lineRule="atLeast"/>
        <w:jc w:val="both"/>
        <w:rPr>
          <w:rFonts w:eastAsia="Times New Roman" w:cstheme="minorHAnsi"/>
          <w:b/>
          <w:color w:val="343434"/>
          <w:sz w:val="24"/>
          <w:szCs w:val="24"/>
          <w:u w:val="single"/>
          <w:lang w:eastAsia="fr-BE"/>
        </w:rPr>
      </w:pPr>
      <w:r w:rsidRPr="00E216DF">
        <w:rPr>
          <w:rFonts w:eastAsia="Times New Roman" w:cstheme="minorHAnsi"/>
          <w:b/>
          <w:color w:val="343434"/>
          <w:sz w:val="24"/>
          <w:szCs w:val="24"/>
          <w:u w:val="single"/>
          <w:lang w:eastAsia="fr-BE"/>
        </w:rPr>
        <w:t xml:space="preserve">Programme de la journée </w:t>
      </w:r>
    </w:p>
    <w:p w:rsidR="008545E8" w:rsidRPr="0054482C" w:rsidRDefault="008545E8" w:rsidP="0054482C">
      <w:pPr>
        <w:pStyle w:val="Paragraphedeliste"/>
        <w:numPr>
          <w:ilvl w:val="0"/>
          <w:numId w:val="9"/>
        </w:numPr>
        <w:spacing w:after="0" w:line="252" w:lineRule="auto"/>
        <w:ind w:left="284" w:hanging="284"/>
        <w:jc w:val="both"/>
        <w:rPr>
          <w:rFonts w:eastAsia="Times New Roman"/>
          <w:sz w:val="24"/>
          <w:szCs w:val="24"/>
        </w:rPr>
      </w:pPr>
      <w:r w:rsidRPr="0054482C">
        <w:rPr>
          <w:rFonts w:eastAsia="Times New Roman" w:cstheme="minorHAnsi"/>
          <w:b/>
          <w:color w:val="343434"/>
          <w:sz w:val="24"/>
          <w:szCs w:val="24"/>
          <w:lang w:eastAsia="fr-BE"/>
        </w:rPr>
        <w:t xml:space="preserve">De </w:t>
      </w:r>
      <w:r w:rsidR="00BA03DE" w:rsidRPr="0054482C">
        <w:rPr>
          <w:rFonts w:cstheme="minorHAnsi"/>
          <w:b/>
          <w:sz w:val="24"/>
          <w:szCs w:val="24"/>
        </w:rPr>
        <w:t>9h30-12h30 </w:t>
      </w:r>
      <w:r w:rsidR="00BA03DE" w:rsidRPr="0054482C">
        <w:rPr>
          <w:rFonts w:eastAsia="Times New Roman" w:cstheme="minorHAnsi"/>
          <w:b/>
          <w:color w:val="343434"/>
          <w:sz w:val="24"/>
          <w:szCs w:val="24"/>
          <w:lang w:eastAsia="fr-BE"/>
        </w:rPr>
        <w:t xml:space="preserve">: </w:t>
      </w:r>
      <w:r w:rsidR="0054482C" w:rsidRPr="0054482C">
        <w:rPr>
          <w:rFonts w:eastAsia="Times New Roman"/>
          <w:b/>
          <w:sz w:val="24"/>
          <w:szCs w:val="24"/>
        </w:rPr>
        <w:t xml:space="preserve">Même la guerre a des limites ! Découvrir le droit international humanitaire </w:t>
      </w:r>
    </w:p>
    <w:p w:rsidR="00C62F0C" w:rsidRPr="0054482C" w:rsidRDefault="00E216DF" w:rsidP="0054482C">
      <w:pPr>
        <w:shd w:val="clear" w:color="auto" w:fill="FFFFFF"/>
        <w:spacing w:after="0" w:line="360" w:lineRule="atLeast"/>
        <w:ind w:firstLine="360"/>
        <w:jc w:val="both"/>
        <w:rPr>
          <w:rFonts w:eastAsia="Times New Roman" w:cstheme="minorHAnsi"/>
          <w:color w:val="343434"/>
          <w:sz w:val="24"/>
          <w:szCs w:val="24"/>
          <w:lang w:eastAsia="fr-BE"/>
        </w:rPr>
      </w:pPr>
      <w:r w:rsidRPr="0054482C">
        <w:rPr>
          <w:rFonts w:eastAsia="Times New Roman" w:cstheme="minorHAnsi"/>
          <w:color w:val="343434"/>
          <w:sz w:val="24"/>
          <w:szCs w:val="24"/>
          <w:lang w:eastAsia="fr-BE"/>
        </w:rPr>
        <w:t>Atelier animé p</w:t>
      </w:r>
      <w:r w:rsidR="008545E8" w:rsidRPr="0054482C">
        <w:rPr>
          <w:rFonts w:eastAsia="Times New Roman" w:cstheme="minorHAnsi"/>
          <w:color w:val="343434"/>
          <w:sz w:val="24"/>
          <w:szCs w:val="24"/>
          <w:lang w:eastAsia="fr-BE"/>
        </w:rPr>
        <w:t xml:space="preserve">ar la </w:t>
      </w:r>
      <w:r w:rsidR="008545E8" w:rsidRPr="0054482C">
        <w:rPr>
          <w:rFonts w:eastAsia="Times New Roman" w:cstheme="minorHAnsi"/>
          <w:b/>
          <w:i/>
          <w:color w:val="343434"/>
          <w:sz w:val="24"/>
          <w:szCs w:val="24"/>
          <w:lang w:eastAsia="fr-BE"/>
        </w:rPr>
        <w:t>Croix-Rouge de Belgique</w:t>
      </w:r>
      <w:r w:rsidRPr="0054482C">
        <w:rPr>
          <w:rFonts w:eastAsia="Times New Roman" w:cstheme="minorHAnsi"/>
          <w:color w:val="343434"/>
          <w:sz w:val="24"/>
          <w:szCs w:val="24"/>
          <w:lang w:eastAsia="fr-BE"/>
        </w:rPr>
        <w:t xml:space="preserve"> </w:t>
      </w:r>
      <w:r w:rsidR="00BA03DE" w:rsidRPr="0054482C">
        <w:rPr>
          <w:rFonts w:eastAsia="Times New Roman" w:cstheme="minorHAnsi"/>
          <w:color w:val="343434"/>
          <w:sz w:val="24"/>
          <w:szCs w:val="24"/>
          <w:lang w:eastAsia="fr-BE"/>
        </w:rPr>
        <w:t>(</w:t>
      </w:r>
      <w:hyperlink r:id="rId10" w:history="1">
        <w:r w:rsidR="00BA03DE" w:rsidRPr="0054482C">
          <w:rPr>
            <w:rStyle w:val="Lienhypertexte"/>
            <w:rFonts w:eastAsia="Times New Roman" w:cstheme="minorHAnsi"/>
            <w:sz w:val="24"/>
            <w:szCs w:val="24"/>
            <w:lang w:eastAsia="fr-BE"/>
          </w:rPr>
          <w:t>https://dih.croix-rouge.be</w:t>
        </w:r>
      </w:hyperlink>
      <w:r w:rsidR="00BA03DE" w:rsidRPr="0054482C">
        <w:rPr>
          <w:rFonts w:eastAsia="Times New Roman" w:cstheme="minorHAnsi"/>
          <w:color w:val="343434"/>
          <w:sz w:val="24"/>
          <w:szCs w:val="24"/>
          <w:lang w:eastAsia="fr-BE"/>
        </w:rPr>
        <w:t xml:space="preserve">) </w:t>
      </w:r>
    </w:p>
    <w:p w:rsidR="0054482C" w:rsidRPr="00294F86" w:rsidRDefault="0054482C" w:rsidP="00294F86">
      <w:pPr>
        <w:numPr>
          <w:ilvl w:val="0"/>
          <w:numId w:val="2"/>
        </w:numPr>
        <w:shd w:val="clear" w:color="auto" w:fill="FFFFFF"/>
        <w:spacing w:after="0" w:line="276" w:lineRule="auto"/>
        <w:contextualSpacing/>
        <w:jc w:val="both"/>
        <w:rPr>
          <w:rFonts w:eastAsia="Times New Roman" w:cstheme="minorHAnsi"/>
          <w:color w:val="343434"/>
          <w:sz w:val="24"/>
          <w:szCs w:val="24"/>
          <w:lang w:eastAsia="fr-BE"/>
        </w:rPr>
      </w:pPr>
      <w:r w:rsidRPr="00294F86">
        <w:rPr>
          <w:rFonts w:eastAsia="Times New Roman" w:cstheme="minorHAnsi"/>
          <w:color w:val="343434"/>
          <w:sz w:val="24"/>
          <w:szCs w:val="24"/>
          <w:lang w:eastAsia="fr-BE"/>
        </w:rPr>
        <w:t>Réflexion sur les conséquences des conflits armés sur la dignité humaine.</w:t>
      </w:r>
    </w:p>
    <w:p w:rsidR="0054482C" w:rsidRPr="00294F86" w:rsidRDefault="0054482C" w:rsidP="00294F86">
      <w:pPr>
        <w:pStyle w:val="pf0"/>
        <w:numPr>
          <w:ilvl w:val="0"/>
          <w:numId w:val="2"/>
        </w:numPr>
        <w:spacing w:after="0" w:afterAutospacing="0" w:line="276" w:lineRule="auto"/>
        <w:jc w:val="both"/>
        <w:rPr>
          <w:rFonts w:asciiTheme="minorHAnsi" w:eastAsia="Times New Roman" w:hAnsiTheme="minorHAnsi" w:cstheme="minorHAnsi"/>
        </w:rPr>
      </w:pPr>
      <w:r w:rsidRPr="00294F86">
        <w:rPr>
          <w:rFonts w:asciiTheme="minorHAnsi" w:eastAsia="Times New Roman" w:hAnsiTheme="minorHAnsi" w:cstheme="minorHAnsi"/>
          <w:color w:val="343434"/>
        </w:rPr>
        <w:t>Familiarisation aux règles essentielles du droit international humanitaire, règles qui visent à restreindre, pour des raisons humanitaires, les effets néfastes des conflits armés, en protégeant celles et ceux qui ne participent pas ou plus aux hostilités et en limitant le choix des moyens et des méthodes de guerre.</w:t>
      </w:r>
    </w:p>
    <w:p w:rsidR="0054482C" w:rsidRPr="00294F86" w:rsidRDefault="0054482C" w:rsidP="00294F86">
      <w:pPr>
        <w:numPr>
          <w:ilvl w:val="0"/>
          <w:numId w:val="2"/>
        </w:numPr>
        <w:shd w:val="clear" w:color="auto" w:fill="FFFFFF"/>
        <w:spacing w:after="225" w:line="276" w:lineRule="auto"/>
        <w:contextualSpacing/>
        <w:jc w:val="both"/>
        <w:rPr>
          <w:rFonts w:eastAsia="Times New Roman" w:cstheme="minorHAnsi"/>
          <w:color w:val="343434"/>
          <w:sz w:val="24"/>
          <w:szCs w:val="24"/>
          <w:lang w:eastAsia="fr-BE"/>
        </w:rPr>
      </w:pPr>
      <w:r w:rsidRPr="00294F86">
        <w:rPr>
          <w:rFonts w:eastAsia="Times New Roman" w:cstheme="minorHAnsi"/>
          <w:color w:val="343434"/>
          <w:sz w:val="24"/>
          <w:szCs w:val="24"/>
        </w:rPr>
        <w:t>Découverte des missions du Mouvement international de la Croix-Rouge et du Croissant-Rouge, et plus particulièrement du Comité international de la Croix-Rouge.</w:t>
      </w:r>
    </w:p>
    <w:p w:rsidR="00E216DF" w:rsidRPr="00294F86" w:rsidRDefault="0054482C" w:rsidP="00E66D01">
      <w:pPr>
        <w:numPr>
          <w:ilvl w:val="0"/>
          <w:numId w:val="2"/>
        </w:numPr>
        <w:shd w:val="clear" w:color="auto" w:fill="FFFFFF"/>
        <w:spacing w:before="225" w:after="0" w:line="276" w:lineRule="auto"/>
        <w:contextualSpacing/>
        <w:jc w:val="both"/>
        <w:rPr>
          <w:rFonts w:eastAsia="Times New Roman" w:cstheme="minorHAnsi"/>
          <w:color w:val="343434"/>
          <w:sz w:val="24"/>
          <w:szCs w:val="24"/>
          <w:lang w:eastAsia="fr-BE"/>
        </w:rPr>
      </w:pPr>
      <w:r w:rsidRPr="00294F86">
        <w:rPr>
          <w:rFonts w:eastAsia="Times New Roman" w:cstheme="minorHAnsi"/>
          <w:color w:val="343434"/>
          <w:sz w:val="24"/>
          <w:szCs w:val="24"/>
          <w:lang w:eastAsia="fr-BE"/>
        </w:rPr>
        <w:t>Présentation et mise en pratique du jeu « </w:t>
      </w:r>
      <w:hyperlink r:id="rId11" w:tgtFrame="_blank" w:history="1">
        <w:r w:rsidRPr="00294F86">
          <w:rPr>
            <w:rStyle w:val="Lienhypertexte"/>
            <w:rFonts w:cstheme="minorHAnsi"/>
            <w:sz w:val="24"/>
            <w:szCs w:val="24"/>
          </w:rPr>
          <w:t>Rendez-vous en guerre inconnue</w:t>
        </w:r>
      </w:hyperlink>
      <w:r w:rsidRPr="00294F86">
        <w:rPr>
          <w:rFonts w:eastAsia="Times New Roman" w:cstheme="minorHAnsi"/>
          <w:color w:val="343434"/>
          <w:sz w:val="24"/>
          <w:szCs w:val="24"/>
          <w:lang w:eastAsia="fr-BE"/>
        </w:rPr>
        <w:t xml:space="preserve"> », un outil pédagogique sous la forme d’un jeu de rôle adapté pour les jeunes de 15-18 ans. </w:t>
      </w:r>
    </w:p>
    <w:p w:rsidR="00E216DF" w:rsidRPr="003D0C1E" w:rsidRDefault="00BA03DE" w:rsidP="003D0C1E">
      <w:pPr>
        <w:pStyle w:val="Paragraphedeliste"/>
        <w:numPr>
          <w:ilvl w:val="0"/>
          <w:numId w:val="6"/>
        </w:numPr>
        <w:ind w:left="284" w:hanging="284"/>
        <w:jc w:val="both"/>
        <w:rPr>
          <w:rFonts w:cstheme="minorHAnsi"/>
          <w:b/>
          <w:sz w:val="24"/>
          <w:szCs w:val="24"/>
        </w:rPr>
      </w:pPr>
      <w:r w:rsidRPr="00E216DF">
        <w:rPr>
          <w:rFonts w:cstheme="minorHAnsi"/>
          <w:b/>
          <w:sz w:val="24"/>
          <w:szCs w:val="24"/>
        </w:rPr>
        <w:t xml:space="preserve">De 12h30-13h15 : </w:t>
      </w:r>
      <w:r w:rsidR="00C62F0C" w:rsidRPr="00E216DF">
        <w:rPr>
          <w:rFonts w:cstheme="minorHAnsi"/>
          <w:b/>
          <w:sz w:val="24"/>
          <w:szCs w:val="24"/>
        </w:rPr>
        <w:t>P</w:t>
      </w:r>
      <w:r w:rsidRPr="00E216DF">
        <w:rPr>
          <w:rFonts w:cstheme="minorHAnsi"/>
          <w:b/>
          <w:sz w:val="24"/>
          <w:szCs w:val="24"/>
        </w:rPr>
        <w:t xml:space="preserve">ause </w:t>
      </w:r>
    </w:p>
    <w:p w:rsidR="00C62F0C" w:rsidRPr="00E216DF" w:rsidRDefault="008545E8" w:rsidP="004B1ABE">
      <w:pPr>
        <w:pStyle w:val="Paragraphedeliste"/>
        <w:numPr>
          <w:ilvl w:val="0"/>
          <w:numId w:val="6"/>
        </w:numPr>
        <w:shd w:val="clear" w:color="auto" w:fill="FFFFFF"/>
        <w:spacing w:after="0" w:line="360" w:lineRule="atLeast"/>
        <w:ind w:left="284" w:hanging="284"/>
        <w:jc w:val="both"/>
        <w:rPr>
          <w:rFonts w:eastAsia="Times New Roman" w:cstheme="minorHAnsi"/>
          <w:b/>
          <w:color w:val="343434"/>
          <w:sz w:val="24"/>
          <w:szCs w:val="24"/>
          <w:lang w:eastAsia="fr-BE"/>
        </w:rPr>
      </w:pPr>
      <w:r w:rsidRPr="00E216DF">
        <w:rPr>
          <w:rFonts w:eastAsia="Times New Roman" w:cstheme="minorHAnsi"/>
          <w:b/>
          <w:color w:val="343434"/>
          <w:sz w:val="24"/>
          <w:szCs w:val="24"/>
          <w:lang w:eastAsia="fr-BE"/>
        </w:rPr>
        <w:t xml:space="preserve">De </w:t>
      </w:r>
      <w:r w:rsidR="00BA03DE" w:rsidRPr="00E216DF">
        <w:rPr>
          <w:rFonts w:eastAsia="Times New Roman" w:cstheme="minorHAnsi"/>
          <w:b/>
          <w:color w:val="343434"/>
          <w:sz w:val="24"/>
          <w:szCs w:val="24"/>
          <w:lang w:eastAsia="fr-BE"/>
        </w:rPr>
        <w:t xml:space="preserve">13h30 </w:t>
      </w:r>
      <w:r w:rsidRPr="00E216DF">
        <w:rPr>
          <w:rFonts w:eastAsia="Times New Roman" w:cstheme="minorHAnsi"/>
          <w:b/>
          <w:color w:val="343434"/>
          <w:sz w:val="24"/>
          <w:szCs w:val="24"/>
          <w:lang w:eastAsia="fr-BE"/>
        </w:rPr>
        <w:t>à 16h30</w:t>
      </w:r>
      <w:r w:rsidR="00BA03DE" w:rsidRPr="00E216DF">
        <w:rPr>
          <w:rFonts w:eastAsia="Times New Roman" w:cstheme="minorHAnsi"/>
          <w:b/>
          <w:color w:val="343434"/>
          <w:sz w:val="24"/>
          <w:szCs w:val="24"/>
          <w:lang w:eastAsia="fr-BE"/>
        </w:rPr>
        <w:t> : Justice et</w:t>
      </w:r>
      <w:r w:rsidR="0052249C">
        <w:rPr>
          <w:rFonts w:eastAsia="Times New Roman" w:cstheme="minorHAnsi"/>
          <w:b/>
          <w:color w:val="343434"/>
          <w:sz w:val="24"/>
          <w:szCs w:val="24"/>
          <w:lang w:eastAsia="fr-BE"/>
        </w:rPr>
        <w:t xml:space="preserve"> la</w:t>
      </w:r>
      <w:r w:rsidR="00BA03DE" w:rsidRPr="00E216DF">
        <w:rPr>
          <w:rFonts w:eastAsia="Times New Roman" w:cstheme="minorHAnsi"/>
          <w:b/>
          <w:color w:val="343434"/>
          <w:sz w:val="24"/>
          <w:szCs w:val="24"/>
          <w:lang w:eastAsia="fr-BE"/>
        </w:rPr>
        <w:t xml:space="preserve"> lutte contre l’impunité</w:t>
      </w:r>
    </w:p>
    <w:p w:rsidR="0054482C" w:rsidRDefault="00E216DF" w:rsidP="0054482C">
      <w:pPr>
        <w:shd w:val="clear" w:color="auto" w:fill="FFFFFF"/>
        <w:spacing w:after="0" w:line="360" w:lineRule="atLeast"/>
        <w:ind w:firstLine="284"/>
        <w:jc w:val="both"/>
        <w:rPr>
          <w:rFonts w:eastAsia="Times New Roman" w:cstheme="minorHAnsi"/>
          <w:color w:val="343434"/>
          <w:sz w:val="24"/>
          <w:szCs w:val="24"/>
          <w:lang w:eastAsia="fr-BE"/>
        </w:rPr>
      </w:pPr>
      <w:r>
        <w:rPr>
          <w:rFonts w:eastAsia="Times New Roman" w:cstheme="minorHAnsi"/>
          <w:color w:val="343434"/>
          <w:sz w:val="24"/>
          <w:szCs w:val="24"/>
          <w:lang w:eastAsia="fr-BE"/>
        </w:rPr>
        <w:t>Atelier animé p</w:t>
      </w:r>
      <w:r w:rsidR="00C62F0C" w:rsidRPr="00C62F0C">
        <w:rPr>
          <w:rFonts w:eastAsia="Times New Roman" w:cstheme="minorHAnsi"/>
          <w:color w:val="343434"/>
          <w:sz w:val="24"/>
          <w:szCs w:val="24"/>
          <w:lang w:eastAsia="fr-BE"/>
        </w:rPr>
        <w:t xml:space="preserve">ar </w:t>
      </w:r>
      <w:r w:rsidR="00C62F0C" w:rsidRPr="00E216DF">
        <w:rPr>
          <w:rFonts w:eastAsia="Times New Roman" w:cstheme="minorHAnsi"/>
          <w:b/>
          <w:i/>
          <w:color w:val="343434"/>
          <w:sz w:val="24"/>
          <w:szCs w:val="24"/>
          <w:lang w:eastAsia="fr-BE"/>
        </w:rPr>
        <w:t xml:space="preserve">RCN Justice </w:t>
      </w:r>
      <w:r w:rsidRPr="00E216DF">
        <w:rPr>
          <w:rFonts w:eastAsia="Times New Roman" w:cstheme="minorHAnsi"/>
          <w:b/>
          <w:i/>
          <w:color w:val="343434"/>
          <w:sz w:val="24"/>
          <w:szCs w:val="24"/>
          <w:lang w:eastAsia="fr-BE"/>
        </w:rPr>
        <w:t xml:space="preserve">&amp; </w:t>
      </w:r>
      <w:r>
        <w:rPr>
          <w:rFonts w:eastAsia="Times New Roman" w:cstheme="minorHAnsi"/>
          <w:b/>
          <w:i/>
          <w:color w:val="343434"/>
          <w:sz w:val="24"/>
          <w:szCs w:val="24"/>
          <w:lang w:eastAsia="fr-BE"/>
        </w:rPr>
        <w:t xml:space="preserve">Démocratie </w:t>
      </w:r>
      <w:r>
        <w:rPr>
          <w:rFonts w:eastAsia="Times New Roman" w:cstheme="minorHAnsi"/>
          <w:color w:val="343434"/>
          <w:sz w:val="24"/>
          <w:szCs w:val="24"/>
          <w:lang w:eastAsia="fr-BE"/>
        </w:rPr>
        <w:t>(</w:t>
      </w:r>
      <w:hyperlink r:id="rId12" w:history="1">
        <w:r w:rsidR="0054482C" w:rsidRPr="003723F3">
          <w:rPr>
            <w:rStyle w:val="Lienhypertexte"/>
            <w:rFonts w:eastAsia="Times New Roman" w:cstheme="minorHAnsi"/>
            <w:sz w:val="24"/>
            <w:szCs w:val="24"/>
            <w:lang w:eastAsia="fr-BE"/>
          </w:rPr>
          <w:t>https://rcn-ong.be</w:t>
        </w:r>
      </w:hyperlink>
      <w:r w:rsidR="0054482C">
        <w:rPr>
          <w:rFonts w:eastAsia="Times New Roman" w:cstheme="minorHAnsi"/>
          <w:color w:val="343434"/>
          <w:sz w:val="24"/>
          <w:szCs w:val="24"/>
          <w:lang w:eastAsia="fr-BE"/>
        </w:rPr>
        <w:t>)</w:t>
      </w:r>
    </w:p>
    <w:p w:rsidR="00C62F0C" w:rsidRPr="00C62F0C" w:rsidRDefault="00C62F0C" w:rsidP="004B1ABE">
      <w:pPr>
        <w:pStyle w:val="Paragraphedeliste"/>
        <w:numPr>
          <w:ilvl w:val="0"/>
          <w:numId w:val="2"/>
        </w:numPr>
        <w:jc w:val="both"/>
        <w:rPr>
          <w:rFonts w:cstheme="minorHAnsi"/>
          <w:sz w:val="24"/>
          <w:szCs w:val="24"/>
        </w:rPr>
      </w:pPr>
      <w:r w:rsidRPr="00C62F0C">
        <w:rPr>
          <w:rFonts w:cstheme="minorHAnsi"/>
          <w:sz w:val="24"/>
          <w:szCs w:val="24"/>
        </w:rPr>
        <w:t>Renforcement des connaissances sur la Justice internationale :</w:t>
      </w:r>
    </w:p>
    <w:p w:rsidR="00BA03DE" w:rsidRPr="00C62F0C" w:rsidRDefault="00C62F0C" w:rsidP="004B1ABE">
      <w:pPr>
        <w:pStyle w:val="Paragraphedeliste"/>
        <w:jc w:val="both"/>
        <w:rPr>
          <w:rFonts w:cstheme="minorHAnsi"/>
          <w:sz w:val="24"/>
          <w:szCs w:val="24"/>
        </w:rPr>
      </w:pPr>
      <w:r w:rsidRPr="00C62F0C">
        <w:rPr>
          <w:rFonts w:cstheme="minorHAnsi"/>
          <w:color w:val="000000"/>
          <w:sz w:val="24"/>
          <w:szCs w:val="24"/>
          <w:shd w:val="clear" w:color="auto" w:fill="FFFFFF"/>
        </w:rPr>
        <w:t>Comment rendre justice ? Comment établir les responsabilités de chacun ? Quels sont les mécanismes (inter)nationaux qui existent ? Comment la justice contribue-t-elle à la reconstruction de la société ?</w:t>
      </w:r>
      <w:r w:rsidRPr="00C62F0C">
        <w:rPr>
          <w:rFonts w:cstheme="minorHAnsi"/>
          <w:sz w:val="24"/>
          <w:szCs w:val="24"/>
        </w:rPr>
        <w:t> »</w:t>
      </w:r>
    </w:p>
    <w:p w:rsidR="00BA03DE" w:rsidRPr="004B1ABE" w:rsidRDefault="00BA03DE" w:rsidP="004B1ABE">
      <w:pPr>
        <w:pStyle w:val="Paragraphedeliste"/>
        <w:numPr>
          <w:ilvl w:val="0"/>
          <w:numId w:val="2"/>
        </w:numPr>
        <w:jc w:val="both"/>
        <w:rPr>
          <w:rFonts w:cstheme="minorHAnsi"/>
          <w:sz w:val="24"/>
          <w:szCs w:val="24"/>
        </w:rPr>
      </w:pPr>
      <w:r w:rsidRPr="00C62F0C">
        <w:rPr>
          <w:rFonts w:cstheme="minorHAnsi"/>
          <w:color w:val="000000"/>
          <w:sz w:val="24"/>
          <w:szCs w:val="24"/>
          <w:shd w:val="clear" w:color="auto" w:fill="FFFFFF"/>
        </w:rPr>
        <w:t>Présentation et mise en pratique du jeu « </w:t>
      </w:r>
      <w:proofErr w:type="spellStart"/>
      <w:r w:rsidRPr="00C62F0C">
        <w:rPr>
          <w:rFonts w:cstheme="minorHAnsi"/>
          <w:color w:val="000000"/>
          <w:sz w:val="24"/>
          <w:szCs w:val="24"/>
          <w:shd w:val="clear" w:color="auto" w:fill="FFFFFF"/>
        </w:rPr>
        <w:t>Ubutabera</w:t>
      </w:r>
      <w:proofErr w:type="spellEnd"/>
      <w:r w:rsidRPr="00C62F0C">
        <w:rPr>
          <w:rFonts w:cstheme="minorHAnsi"/>
          <w:color w:val="000000"/>
          <w:sz w:val="24"/>
          <w:szCs w:val="24"/>
          <w:shd w:val="clear" w:color="auto" w:fill="FFFFFF"/>
        </w:rPr>
        <w:t> » : jeu</w:t>
      </w:r>
      <w:bookmarkStart w:id="0" w:name="_GoBack"/>
      <w:bookmarkEnd w:id="0"/>
      <w:r w:rsidRPr="00C62F0C">
        <w:rPr>
          <w:rFonts w:cstheme="minorHAnsi"/>
          <w:color w:val="000000"/>
          <w:sz w:val="24"/>
          <w:szCs w:val="24"/>
          <w:shd w:val="clear" w:color="auto" w:fill="FFFFFF"/>
        </w:rPr>
        <w:t xml:space="preserve"> de rôle collaboratif, immersif et pédagogique qui vous plonge dans l</w:t>
      </w:r>
      <w:r w:rsidR="00C62F0C" w:rsidRPr="00C62F0C">
        <w:rPr>
          <w:rFonts w:cstheme="minorHAnsi"/>
          <w:color w:val="000000"/>
          <w:sz w:val="24"/>
          <w:szCs w:val="24"/>
          <w:shd w:val="clear" w:color="auto" w:fill="FFFFFF"/>
        </w:rPr>
        <w:t>e monde du droit international (</w:t>
      </w:r>
      <w:r w:rsidRPr="00C62F0C">
        <w:rPr>
          <w:rFonts w:cstheme="minorHAnsi"/>
          <w:color w:val="000000"/>
          <w:sz w:val="24"/>
          <w:szCs w:val="24"/>
          <w:shd w:val="clear" w:color="auto" w:fill="FFFFFF"/>
        </w:rPr>
        <w:t>procès d’un cas fictif devant le Tribunal Pénal International pour le Rwanda (TPIR)</w:t>
      </w:r>
      <w:r w:rsidR="00C62F0C" w:rsidRPr="00C62F0C">
        <w:rPr>
          <w:rFonts w:cstheme="minorHAnsi"/>
          <w:color w:val="000000"/>
          <w:sz w:val="24"/>
          <w:szCs w:val="24"/>
          <w:shd w:val="clear" w:color="auto" w:fill="FFFFFF"/>
        </w:rPr>
        <w:t>)</w:t>
      </w:r>
      <w:r w:rsidRPr="00C62F0C">
        <w:rPr>
          <w:rFonts w:cstheme="minorHAnsi"/>
          <w:color w:val="000000"/>
          <w:sz w:val="24"/>
          <w:szCs w:val="24"/>
          <w:shd w:val="clear" w:color="auto" w:fill="FFFFFF"/>
        </w:rPr>
        <w:t xml:space="preserve">. </w:t>
      </w:r>
    </w:p>
    <w:p w:rsidR="004B1ABE" w:rsidRPr="00C62F0C" w:rsidRDefault="004B1ABE" w:rsidP="004B1ABE">
      <w:pPr>
        <w:pStyle w:val="Paragraphedeliste"/>
        <w:jc w:val="both"/>
        <w:rPr>
          <w:rFonts w:cstheme="minorHAnsi"/>
          <w:sz w:val="24"/>
          <w:szCs w:val="24"/>
        </w:rPr>
      </w:pPr>
    </w:p>
    <w:p w:rsidR="00411B41" w:rsidRPr="004B1ABE" w:rsidRDefault="004B1ABE" w:rsidP="0054482C">
      <w:pPr>
        <w:pStyle w:val="Paragraphedeliste"/>
        <w:numPr>
          <w:ilvl w:val="0"/>
          <w:numId w:val="7"/>
        </w:numPr>
        <w:tabs>
          <w:tab w:val="left" w:pos="284"/>
        </w:tabs>
        <w:ind w:left="0" w:firstLine="0"/>
        <w:jc w:val="both"/>
        <w:rPr>
          <w:rFonts w:cstheme="minorHAnsi"/>
          <w:sz w:val="24"/>
          <w:szCs w:val="24"/>
        </w:rPr>
      </w:pPr>
      <w:r>
        <w:rPr>
          <w:rFonts w:cstheme="minorHAnsi"/>
          <w:sz w:val="24"/>
          <w:szCs w:val="24"/>
        </w:rPr>
        <w:t>Les supports pédagogiques vous seront remis gratuitement en fin de formation.</w:t>
      </w:r>
    </w:p>
    <w:p w:rsidR="00294F86" w:rsidRPr="00294F86" w:rsidRDefault="00C62F0C" w:rsidP="004B1ABE">
      <w:pPr>
        <w:jc w:val="both"/>
        <w:rPr>
          <w:sz w:val="24"/>
          <w:szCs w:val="24"/>
        </w:rPr>
      </w:pPr>
      <w:r w:rsidRPr="00C62F0C">
        <w:rPr>
          <w:rFonts w:cstheme="minorHAnsi"/>
          <w:sz w:val="24"/>
          <w:szCs w:val="24"/>
        </w:rPr>
        <w:t xml:space="preserve">Pour tout renseignement complémentaire : </w:t>
      </w:r>
      <w:hyperlink r:id="rId13" w:history="1">
        <w:r w:rsidR="00294F86" w:rsidRPr="005308B6">
          <w:rPr>
            <w:rStyle w:val="Lienhypertexte"/>
            <w:rFonts w:cstheme="minorHAnsi"/>
            <w:sz w:val="24"/>
            <w:szCs w:val="24"/>
          </w:rPr>
          <w:t>claire.jouve@cfwb.be</w:t>
        </w:r>
      </w:hyperlink>
      <w:r w:rsidR="00294F86">
        <w:rPr>
          <w:rStyle w:val="Marquedecommentaire"/>
        </w:rPr>
        <w:t xml:space="preserve"> </w:t>
      </w:r>
      <w:r w:rsidR="00294F86" w:rsidRPr="00294F86">
        <w:rPr>
          <w:rStyle w:val="Marquedecommentaire"/>
          <w:sz w:val="24"/>
          <w:szCs w:val="24"/>
        </w:rPr>
        <w:t xml:space="preserve">ou </w:t>
      </w:r>
      <w:hyperlink r:id="rId14" w:history="1">
        <w:r w:rsidR="00294F86" w:rsidRPr="005308B6">
          <w:rPr>
            <w:rStyle w:val="Lienhypertexte"/>
            <w:sz w:val="24"/>
            <w:szCs w:val="24"/>
          </w:rPr>
          <w:t>dob@cfwb.be</w:t>
        </w:r>
      </w:hyperlink>
      <w:r w:rsidR="00294F86">
        <w:rPr>
          <w:rStyle w:val="Marquedecommentaire"/>
          <w:sz w:val="24"/>
          <w:szCs w:val="24"/>
        </w:rPr>
        <w:t xml:space="preserve"> </w:t>
      </w:r>
    </w:p>
    <w:sectPr w:rsidR="00294F86" w:rsidRPr="00294F86" w:rsidSect="00E66D01">
      <w:pgSz w:w="11906" w:h="16838"/>
      <w:pgMar w:top="0"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B91"/>
    <w:multiLevelType w:val="hybridMultilevel"/>
    <w:tmpl w:val="9760B60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A540CF"/>
    <w:multiLevelType w:val="hybridMultilevel"/>
    <w:tmpl w:val="7444F9C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F1697D"/>
    <w:multiLevelType w:val="multilevel"/>
    <w:tmpl w:val="3674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B56FD"/>
    <w:multiLevelType w:val="hybridMultilevel"/>
    <w:tmpl w:val="D9567B9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78752FD"/>
    <w:multiLevelType w:val="hybridMultilevel"/>
    <w:tmpl w:val="1A628B78"/>
    <w:lvl w:ilvl="0" w:tplc="51C459DE">
      <w:start w:val="1"/>
      <w:numFmt w:val="bullet"/>
      <w:lvlText w:val="-"/>
      <w:lvlJc w:val="left"/>
      <w:pPr>
        <w:ind w:left="720" w:hanging="360"/>
      </w:pPr>
      <w:rPr>
        <w:rFonts w:ascii="LatoRegular" w:eastAsia="Times New Roman" w:hAnsi="LatoRegular" w:cs="Times New Roman" w:hint="default"/>
        <w:color w:val="343434"/>
        <w:sz w:val="2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139486F"/>
    <w:multiLevelType w:val="hybridMultilevel"/>
    <w:tmpl w:val="AD481D76"/>
    <w:lvl w:ilvl="0" w:tplc="910C2436">
      <w:numFmt w:val="bullet"/>
      <w:lvlText w:val="-"/>
      <w:lvlJc w:val="left"/>
      <w:pPr>
        <w:ind w:left="720" w:hanging="360"/>
      </w:pPr>
      <w:rPr>
        <w:rFonts w:ascii="LatoRegular" w:eastAsia="Times New Roman" w:hAnsi="LatoRegular"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6053306"/>
    <w:multiLevelType w:val="hybridMultilevel"/>
    <w:tmpl w:val="954CF2FC"/>
    <w:lvl w:ilvl="0" w:tplc="16AE727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60B12C74"/>
    <w:multiLevelType w:val="hybridMultilevel"/>
    <w:tmpl w:val="148EDD44"/>
    <w:lvl w:ilvl="0" w:tplc="51C459DE">
      <w:start w:val="1"/>
      <w:numFmt w:val="bullet"/>
      <w:lvlText w:val="-"/>
      <w:lvlJc w:val="left"/>
      <w:pPr>
        <w:ind w:left="720" w:hanging="360"/>
      </w:pPr>
      <w:rPr>
        <w:rFonts w:ascii="LatoRegular" w:eastAsia="Times New Roman" w:hAnsi="LatoRegular" w:cs="Times New Roman" w:hint="default"/>
        <w:color w:val="343434"/>
        <w:sz w:val="2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96027CF"/>
    <w:multiLevelType w:val="hybridMultilevel"/>
    <w:tmpl w:val="DEC2686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0"/>
  </w:num>
  <w:num w:numId="6">
    <w:abstractNumId w:val="1"/>
  </w:num>
  <w:num w:numId="7">
    <w:abstractNumId w:val="8"/>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E8"/>
    <w:rsid w:val="00073947"/>
    <w:rsid w:val="00073D85"/>
    <w:rsid w:val="00294F86"/>
    <w:rsid w:val="003D0C1E"/>
    <w:rsid w:val="00411B41"/>
    <w:rsid w:val="00462DD8"/>
    <w:rsid w:val="004B1ABE"/>
    <w:rsid w:val="0052249C"/>
    <w:rsid w:val="0054482C"/>
    <w:rsid w:val="005B7DB6"/>
    <w:rsid w:val="008545E8"/>
    <w:rsid w:val="00AB64BA"/>
    <w:rsid w:val="00B96704"/>
    <w:rsid w:val="00BA03DE"/>
    <w:rsid w:val="00C62F0C"/>
    <w:rsid w:val="00DF23D2"/>
    <w:rsid w:val="00E216DF"/>
    <w:rsid w:val="00E66D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D60F2-1E07-4CCE-82F1-E192E33F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8545E8"/>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545E8"/>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8545E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545E8"/>
    <w:rPr>
      <w:color w:val="0000FF"/>
      <w:u w:val="single"/>
    </w:rPr>
  </w:style>
  <w:style w:type="paragraph" w:styleId="Paragraphedeliste">
    <w:name w:val="List Paragraph"/>
    <w:basedOn w:val="Normal"/>
    <w:uiPriority w:val="34"/>
    <w:qFormat/>
    <w:rsid w:val="008545E8"/>
    <w:pPr>
      <w:ind w:left="720"/>
      <w:contextualSpacing/>
    </w:pPr>
  </w:style>
  <w:style w:type="paragraph" w:customStyle="1" w:styleId="pf0">
    <w:name w:val="pf0"/>
    <w:basedOn w:val="Normal"/>
    <w:rsid w:val="0054482C"/>
    <w:pPr>
      <w:spacing w:before="100" w:beforeAutospacing="1" w:after="100" w:afterAutospacing="1" w:line="240" w:lineRule="auto"/>
      <w:ind w:left="720"/>
    </w:pPr>
    <w:rPr>
      <w:rFonts w:ascii="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462DD8"/>
    <w:rPr>
      <w:sz w:val="16"/>
      <w:szCs w:val="16"/>
    </w:rPr>
  </w:style>
  <w:style w:type="paragraph" w:styleId="Commentaire">
    <w:name w:val="annotation text"/>
    <w:basedOn w:val="Normal"/>
    <w:link w:val="CommentaireCar"/>
    <w:uiPriority w:val="99"/>
    <w:semiHidden/>
    <w:unhideWhenUsed/>
    <w:rsid w:val="00462DD8"/>
    <w:pPr>
      <w:spacing w:line="240" w:lineRule="auto"/>
    </w:pPr>
    <w:rPr>
      <w:sz w:val="20"/>
      <w:szCs w:val="20"/>
    </w:rPr>
  </w:style>
  <w:style w:type="character" w:customStyle="1" w:styleId="CommentaireCar">
    <w:name w:val="Commentaire Car"/>
    <w:basedOn w:val="Policepardfaut"/>
    <w:link w:val="Commentaire"/>
    <w:uiPriority w:val="99"/>
    <w:semiHidden/>
    <w:rsid w:val="00462DD8"/>
    <w:rPr>
      <w:sz w:val="20"/>
      <w:szCs w:val="20"/>
    </w:rPr>
  </w:style>
  <w:style w:type="paragraph" w:styleId="Objetducommentaire">
    <w:name w:val="annotation subject"/>
    <w:basedOn w:val="Commentaire"/>
    <w:next w:val="Commentaire"/>
    <w:link w:val="ObjetducommentaireCar"/>
    <w:uiPriority w:val="99"/>
    <w:semiHidden/>
    <w:unhideWhenUsed/>
    <w:rsid w:val="00462DD8"/>
    <w:rPr>
      <w:b/>
      <w:bCs/>
    </w:rPr>
  </w:style>
  <w:style w:type="character" w:customStyle="1" w:styleId="ObjetducommentaireCar">
    <w:name w:val="Objet du commentaire Car"/>
    <w:basedOn w:val="CommentaireCar"/>
    <w:link w:val="Objetducommentaire"/>
    <w:uiPriority w:val="99"/>
    <w:semiHidden/>
    <w:rsid w:val="00462DD8"/>
    <w:rPr>
      <w:b/>
      <w:bCs/>
      <w:sz w:val="20"/>
      <w:szCs w:val="20"/>
    </w:rPr>
  </w:style>
  <w:style w:type="paragraph" w:styleId="Textedebulles">
    <w:name w:val="Balloon Text"/>
    <w:basedOn w:val="Normal"/>
    <w:link w:val="TextedebullesCar"/>
    <w:uiPriority w:val="99"/>
    <w:semiHidden/>
    <w:unhideWhenUsed/>
    <w:rsid w:val="00462D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2DD8"/>
    <w:rPr>
      <w:rFonts w:ascii="Segoe UI" w:hAnsi="Segoe UI" w:cs="Segoe UI"/>
      <w:sz w:val="18"/>
      <w:szCs w:val="18"/>
    </w:rPr>
  </w:style>
  <w:style w:type="table" w:styleId="Grilledutableau">
    <w:name w:val="Table Grid"/>
    <w:basedOn w:val="TableauNormal"/>
    <w:uiPriority w:val="39"/>
    <w:rsid w:val="00E6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522">
      <w:bodyDiv w:val="1"/>
      <w:marLeft w:val="0"/>
      <w:marRight w:val="0"/>
      <w:marTop w:val="0"/>
      <w:marBottom w:val="0"/>
      <w:divBdr>
        <w:top w:val="none" w:sz="0" w:space="0" w:color="auto"/>
        <w:left w:val="none" w:sz="0" w:space="0" w:color="auto"/>
        <w:bottom w:val="none" w:sz="0" w:space="0" w:color="auto"/>
        <w:right w:val="none" w:sz="0" w:space="0" w:color="auto"/>
      </w:divBdr>
    </w:div>
    <w:div w:id="512115267">
      <w:bodyDiv w:val="1"/>
      <w:marLeft w:val="0"/>
      <w:marRight w:val="0"/>
      <w:marTop w:val="0"/>
      <w:marBottom w:val="0"/>
      <w:divBdr>
        <w:top w:val="none" w:sz="0" w:space="0" w:color="auto"/>
        <w:left w:val="none" w:sz="0" w:space="0" w:color="auto"/>
        <w:bottom w:val="none" w:sz="0" w:space="0" w:color="auto"/>
        <w:right w:val="none" w:sz="0" w:space="0" w:color="auto"/>
      </w:divBdr>
    </w:div>
    <w:div w:id="1495023823">
      <w:bodyDiv w:val="1"/>
      <w:marLeft w:val="0"/>
      <w:marRight w:val="0"/>
      <w:marTop w:val="0"/>
      <w:marBottom w:val="0"/>
      <w:divBdr>
        <w:top w:val="none" w:sz="0" w:space="0" w:color="auto"/>
        <w:left w:val="none" w:sz="0" w:space="0" w:color="auto"/>
        <w:bottom w:val="none" w:sz="0" w:space="0" w:color="auto"/>
        <w:right w:val="none" w:sz="0" w:space="0" w:color="auto"/>
      </w:divBdr>
    </w:div>
    <w:div w:id="15405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claire.jouve@cfwb.b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rcn-ong.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secure-web.cisco.com/1Cr5lXHmFUWgQXVTohKU9lYBRkEayzudCQsuThzcE2XuoK7hMewS6aXm0WrQ0Deo5uBoVpUcY4AQ_Bk0R8aNwDa8FCUDQUtPMjDJOzkv_AIuWlPB3-UOdNSw8yoP2-nXrWSPRb5_snRHi_y_1Fti5QUc9-0YV3IfM3N_uZg3FxZ6bkEKUpFjOdmrL-ZP0gru0glghTYmjF8tlfSHYoEh6GkOArlUkP91e_9a2CdO_7ifrRNXkpW-X7QlMsRfUq551/https%3A%2F%2Fenseignement.croix-rouge.be%2Fnos-animations%2Frendez-vous-en-guerre-inconnue%2F%3F_ga%3D2.136043762.2119454356.1664371269-821157037.1664371269"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ih.croix-rouge.be" TargetMode="External"/><Relationship Id="rId4" Type="http://schemas.openxmlformats.org/officeDocument/2006/relationships/webSettings" Target="webSettings.xml"/><Relationship Id="rId9" Type="http://schemas.openxmlformats.org/officeDocument/2006/relationships/hyperlink" Target="https://form.jotform.com/233412514948356" TargetMode="External"/><Relationship Id="rId14" Type="http://schemas.openxmlformats.org/officeDocument/2006/relationships/hyperlink" Target="mailto:dob@cfw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JOUVE Claire</dc:creator>
  <cp:keywords/>
  <dc:description/>
  <cp:lastModifiedBy>JOUVE Claire</cp:lastModifiedBy>
  <cp:revision>3</cp:revision>
  <dcterms:created xsi:type="dcterms:W3CDTF">2024-01-10T09:47:00Z</dcterms:created>
  <dcterms:modified xsi:type="dcterms:W3CDTF">2024-01-10T11:44:00Z</dcterms:modified>
</cp:coreProperties>
</file>